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85788" w14:textId="0576BE64" w:rsidR="000560C2" w:rsidRPr="009E2190" w:rsidRDefault="000560C2" w:rsidP="000560C2">
      <w:pPr>
        <w:spacing w:line="276" w:lineRule="auto"/>
        <w:ind w:left="708" w:firstLine="1702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755A05">
        <w:rPr>
          <w:rFonts w:eastAsia="Cambria" w:cs="Cambria"/>
          <w:szCs w:val="22"/>
        </w:rPr>
        <w:t>138</w:t>
      </w:r>
    </w:p>
    <w:p w14:paraId="0CF2ABEA" w14:textId="40EEB524" w:rsidR="000560C2" w:rsidRPr="009E2190" w:rsidRDefault="000560C2" w:rsidP="000560C2">
      <w:pPr>
        <w:spacing w:line="276" w:lineRule="auto"/>
        <w:ind w:hanging="142"/>
        <w:jc w:val="center"/>
      </w:pPr>
      <w:r>
        <w:rPr>
          <w:rFonts w:eastAsia="Cambria" w:cs="Cambria"/>
          <w:szCs w:val="22"/>
        </w:rPr>
        <w:t xml:space="preserve">                                                                                                                              </w:t>
      </w:r>
      <w:r w:rsidR="000F1019">
        <w:rPr>
          <w:rFonts w:eastAsia="Cambria" w:cs="Cambria"/>
          <w:szCs w:val="22"/>
        </w:rPr>
        <w:t xml:space="preserve">              </w:t>
      </w:r>
      <w:r w:rsidRPr="009E2190">
        <w:rPr>
          <w:rFonts w:eastAsia="Cambria" w:cs="Cambria"/>
          <w:szCs w:val="22"/>
        </w:rPr>
        <w:t>Dyrektora Generalnego LP</w:t>
      </w:r>
      <w:r>
        <w:rPr>
          <w:rFonts w:eastAsia="Cambria" w:cs="Cambria"/>
          <w:szCs w:val="22"/>
        </w:rPr>
        <w:t xml:space="preserve">                                           </w:t>
      </w:r>
    </w:p>
    <w:p w14:paraId="54B9E9A0" w14:textId="1A8854D9" w:rsidR="000560C2" w:rsidRPr="009E2190" w:rsidRDefault="000560C2" w:rsidP="000560C2">
      <w:pPr>
        <w:spacing w:line="276" w:lineRule="auto"/>
        <w:ind w:hanging="1417"/>
        <w:jc w:val="right"/>
      </w:pPr>
      <w:r>
        <w:rPr>
          <w:rFonts w:eastAsia="Cambria" w:cs="Cambria"/>
          <w:szCs w:val="22"/>
        </w:rPr>
        <w:t xml:space="preserve"> </w:t>
      </w:r>
      <w:r w:rsidRPr="009E2190">
        <w:rPr>
          <w:rFonts w:eastAsia="Cambria" w:cs="Cambria"/>
          <w:szCs w:val="22"/>
        </w:rPr>
        <w:t xml:space="preserve">z dnia </w:t>
      </w:r>
      <w:r w:rsidR="00755A05">
        <w:rPr>
          <w:rFonts w:eastAsia="Cambria" w:cs="Cambria"/>
          <w:szCs w:val="22"/>
        </w:rPr>
        <w:t>17</w:t>
      </w:r>
      <w:r>
        <w:rPr>
          <w:rFonts w:eastAsia="Cambria" w:cs="Cambria"/>
          <w:szCs w:val="22"/>
        </w:rPr>
        <w:t xml:space="preserve"> września 2025</w:t>
      </w:r>
      <w:r w:rsidRPr="009E2190">
        <w:rPr>
          <w:rFonts w:eastAsia="Cambria" w:cs="Cambria"/>
          <w:szCs w:val="22"/>
        </w:rPr>
        <w:t xml:space="preserve">  r.</w:t>
      </w:r>
    </w:p>
    <w:p w14:paraId="672A6659" w14:textId="2A330404" w:rsidR="00B94C33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022DCC8C" w14:textId="33B9D5BC" w:rsidR="0031203C" w:rsidRDefault="0031203C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B496D94" w14:textId="77777777" w:rsidR="0031203C" w:rsidRPr="00E833AC" w:rsidRDefault="0031203C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07778FC9" w14:textId="77777777" w:rsidR="00510B68" w:rsidRPr="0031203C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  <w:bookmarkStart w:id="0" w:name="_Hlk47478150"/>
      <w:r w:rsidRPr="0031203C">
        <w:rPr>
          <w:rFonts w:asciiTheme="majorHAnsi" w:hAnsiTheme="majorHAnsi" w:cs="Arial"/>
          <w:b/>
          <w:bCs/>
          <w:sz w:val="28"/>
          <w:szCs w:val="28"/>
        </w:rPr>
        <w:t xml:space="preserve">Opis standardu technologii wykonawstwa prac </w:t>
      </w:r>
      <w:bookmarkEnd w:id="0"/>
    </w:p>
    <w:p w14:paraId="58AA9436" w14:textId="4B33ACAE" w:rsidR="0056158B" w:rsidRPr="0031203C" w:rsidRDefault="0008288C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31203C">
        <w:rPr>
          <w:rFonts w:asciiTheme="majorHAnsi" w:hAnsiTheme="majorHAnsi" w:cs="Arial"/>
          <w:b/>
          <w:bCs/>
          <w:sz w:val="28"/>
          <w:szCs w:val="28"/>
        </w:rPr>
        <w:t xml:space="preserve">z zakresu gospodarki </w:t>
      </w:r>
      <w:r w:rsidR="00E115E2" w:rsidRPr="0031203C">
        <w:rPr>
          <w:rFonts w:asciiTheme="majorHAnsi" w:hAnsiTheme="majorHAnsi" w:cs="Arial"/>
          <w:b/>
          <w:bCs/>
          <w:sz w:val="28"/>
          <w:szCs w:val="28"/>
        </w:rPr>
        <w:t>łąkowo-rolnej</w:t>
      </w:r>
      <w:r w:rsidR="00510B68" w:rsidRPr="0031203C">
        <w:rPr>
          <w:rFonts w:asciiTheme="majorHAnsi" w:hAnsiTheme="majorHAnsi" w:cs="Arial"/>
          <w:b/>
          <w:bCs/>
          <w:sz w:val="28"/>
          <w:szCs w:val="28"/>
        </w:rPr>
        <w:t xml:space="preserve"> na 2026 r.</w:t>
      </w:r>
    </w:p>
    <w:p w14:paraId="7CFAF45D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01625738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3292F5D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294AEBF2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609DCA5D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3CDFA910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5B94CEB8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3F56AB5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3F0537C6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3CF0DB70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6E6C68BC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3756AA9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056D09E8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F729EBE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FC58C07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403F86B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2CB66E6E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87462AF" w14:textId="1524DBE8" w:rsidR="0056158B" w:rsidRPr="003C28EC" w:rsidRDefault="0056158B" w:rsidP="003C28EC">
      <w:pPr>
        <w:spacing w:before="120" w:line="276" w:lineRule="auto"/>
        <w:jc w:val="center"/>
        <w:rPr>
          <w:color w:val="FF0000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id w:val="-5302701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059367" w14:textId="37D7E329" w:rsidR="0056158B" w:rsidRDefault="0056158B">
          <w:pPr>
            <w:pStyle w:val="Nagwekspisutreci"/>
          </w:pPr>
          <w:r>
            <w:t>Spis treści</w:t>
          </w:r>
        </w:p>
        <w:p w14:paraId="0CD5EBC0" w14:textId="5877CDF4" w:rsidR="0056158B" w:rsidRDefault="0056158B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510" w:history="1">
            <w:r w:rsidRPr="00063B52">
              <w:rPr>
                <w:rStyle w:val="Hipercze"/>
                <w:noProof/>
              </w:rPr>
              <w:t>1.</w:t>
            </w:r>
            <w:r>
              <w:rPr>
                <w:noProof/>
              </w:rPr>
              <w:tab/>
            </w:r>
            <w:r w:rsidRPr="00063B52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1CF3D" w14:textId="6F485F49" w:rsidR="0056158B" w:rsidRDefault="0056158B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1" w:history="1">
            <w:r w:rsidRPr="00063B52">
              <w:rPr>
                <w:rStyle w:val="Hipercze"/>
                <w:noProof/>
              </w:rPr>
              <w:t>2.</w:t>
            </w:r>
            <w:r>
              <w:rPr>
                <w:noProof/>
              </w:rPr>
              <w:tab/>
            </w:r>
            <w:r w:rsidRPr="00063B52">
              <w:rPr>
                <w:rStyle w:val="Hipercze"/>
                <w:noProof/>
              </w:rPr>
              <w:t>Uprawa gleby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80A42" w14:textId="1A8BE858" w:rsidR="0056158B" w:rsidRDefault="0056158B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2" w:history="1">
            <w:r w:rsidRPr="00063B52">
              <w:rPr>
                <w:rStyle w:val="Hipercze"/>
                <w:noProof/>
              </w:rPr>
              <w:t>3.</w:t>
            </w:r>
            <w:r>
              <w:rPr>
                <w:noProof/>
              </w:rPr>
              <w:tab/>
            </w:r>
            <w:r w:rsidRPr="00063B52">
              <w:rPr>
                <w:rStyle w:val="Hipercze"/>
                <w:noProof/>
              </w:rPr>
              <w:t>Nawożenie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EE8189" w14:textId="50DC176C" w:rsidR="0056158B" w:rsidRDefault="0056158B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3" w:history="1">
            <w:r w:rsidRPr="00063B52">
              <w:rPr>
                <w:rStyle w:val="Hipercze"/>
                <w:noProof/>
              </w:rPr>
              <w:t>4.</w:t>
            </w:r>
            <w:r>
              <w:rPr>
                <w:noProof/>
              </w:rPr>
              <w:tab/>
            </w:r>
            <w:r w:rsidRPr="00063B52">
              <w:rPr>
                <w:rStyle w:val="Hipercze"/>
                <w:noProof/>
              </w:rPr>
              <w:t>Siew nasion, sadzenie bulw, sadzonek drzew i krzewów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EC2C7A" w14:textId="572125D5" w:rsidR="0056158B" w:rsidRDefault="0056158B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4" w:history="1">
            <w:r w:rsidRPr="00063B52">
              <w:rPr>
                <w:rStyle w:val="Hipercze"/>
                <w:noProof/>
              </w:rPr>
              <w:t>5.</w:t>
            </w:r>
            <w:r>
              <w:rPr>
                <w:noProof/>
              </w:rPr>
              <w:tab/>
            </w:r>
            <w:r w:rsidRPr="00063B52">
              <w:rPr>
                <w:rStyle w:val="Hipercze"/>
                <w:noProof/>
              </w:rPr>
              <w:t>Opryski chemiczne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317A4" w14:textId="2AC10B99" w:rsidR="0056158B" w:rsidRDefault="0056158B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5" w:history="1">
            <w:r w:rsidRPr="00063B52">
              <w:rPr>
                <w:rStyle w:val="Hipercze"/>
                <w:noProof/>
              </w:rPr>
              <w:t>6.</w:t>
            </w:r>
            <w:r>
              <w:rPr>
                <w:noProof/>
              </w:rPr>
              <w:tab/>
            </w:r>
            <w:r w:rsidRPr="00063B52">
              <w:rPr>
                <w:rStyle w:val="Hipercze"/>
                <w:noProof/>
              </w:rPr>
              <w:t>Zbiór płodów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5EC7D1" w14:textId="11D8ABB2" w:rsidR="0056158B" w:rsidRDefault="0056158B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6" w:history="1">
            <w:r w:rsidRPr="00063B52">
              <w:rPr>
                <w:rStyle w:val="Hipercze"/>
                <w:noProof/>
              </w:rPr>
              <w:t>7.</w:t>
            </w:r>
            <w:r>
              <w:rPr>
                <w:noProof/>
              </w:rPr>
              <w:tab/>
            </w:r>
            <w:r w:rsidRPr="00063B52">
              <w:rPr>
                <w:rStyle w:val="Hipercze"/>
                <w:noProof/>
              </w:rPr>
              <w:t>Zbiór płodów( zbóż)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48395" w14:textId="595D9ED2" w:rsidR="0056158B" w:rsidRDefault="0056158B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7" w:history="1">
            <w:r w:rsidRPr="00063B52">
              <w:rPr>
                <w:rStyle w:val="Hipercze"/>
                <w:noProof/>
              </w:rPr>
              <w:t>8.</w:t>
            </w:r>
            <w:r>
              <w:rPr>
                <w:noProof/>
              </w:rPr>
              <w:tab/>
            </w:r>
            <w:r w:rsidRPr="00063B52">
              <w:rPr>
                <w:rStyle w:val="Hipercze"/>
                <w:noProof/>
              </w:rPr>
              <w:t>Prace godzinowe ręczne i mechaniczne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F482FF" w14:textId="77A2B3C7" w:rsidR="0056158B" w:rsidRDefault="0056158B">
          <w:r>
            <w:rPr>
              <w:b/>
              <w:bCs/>
            </w:rPr>
            <w:fldChar w:fldCharType="end"/>
          </w:r>
        </w:p>
      </w:sdtContent>
    </w:sdt>
    <w:p w14:paraId="6910F92A" w14:textId="55C9C822" w:rsidR="0056158B" w:rsidRDefault="0056158B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</w:p>
    <w:p w14:paraId="390FB025" w14:textId="77777777" w:rsidR="00566A02" w:rsidRPr="00510B68" w:rsidRDefault="00566A02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02D2FAC" w14:textId="26141F9A" w:rsidR="00E478F3" w:rsidRPr="009E2190" w:rsidRDefault="00E478F3" w:rsidP="00E478F3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" w:name="_Toc192154651"/>
      <w:bookmarkStart w:id="2" w:name="_Toc192159510"/>
      <w:r w:rsidRPr="009E2190">
        <w:t>Wstęp</w:t>
      </w:r>
      <w:bookmarkEnd w:id="1"/>
      <w:bookmarkEnd w:id="2"/>
    </w:p>
    <w:p w14:paraId="6BB1C32A" w14:textId="77777777" w:rsidR="00774624" w:rsidRPr="006E4520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1.1.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Generalną zasadą jest zapewnienie przez Zamawiającego materiałów niezbędnych do wykonania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, chyba że inaczej określono to w opisie technologii danej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.</w:t>
      </w:r>
    </w:p>
    <w:p w14:paraId="1D9910EE" w14:textId="596604F0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1.2.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W przypadku wystąpienia czynności nieujętych w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O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pisie standardu technologii wykonawstwa prac </w:t>
      </w:r>
      <w:r w:rsidRPr="00463206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z zakresu gospodarki łąkowo-rolnej</w:t>
      </w:r>
      <w:r w:rsidRPr="00463206" w:rsidDel="00463206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(poz.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600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638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 należy stosować odpowiednie rozliczenie godzinowe ujęte w Pracach godzinowych (poz.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639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643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). </w:t>
      </w:r>
    </w:p>
    <w:p w14:paraId="142B38E1" w14:textId="77777777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1.3.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bookmarkStart w:id="3" w:name="_Hlk191631391"/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W zakres technologii każdej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czynności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wchodzą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także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czynności pomocnicze takie jak: dojazd na powierzchnię roboczą, zawieszenie lub podczepienie sprzętu oraz jego regulacja, oczyszczenie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środków transportu,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sprzętu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lub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narzędzi po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wykonaniu czynności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, odstawienie środków transportu, sprzętu lub narzędzi, oznakowanie powierzchni przy pomocy tablic itp. chyba że inaczej określono to w opisie technologii danej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bookmarkEnd w:id="3"/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.</w:t>
      </w:r>
    </w:p>
    <w:p w14:paraId="5931CEFA" w14:textId="77777777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1.4.</w:t>
      </w:r>
      <w:bookmarkStart w:id="4" w:name="_Hlk191631039"/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Obowiązuje ogólna zasada, że do rozliczenia się z Wykonawcą przyjęta jest faktyczna ilość wykonanych jednostek danej </w:t>
      </w:r>
      <w:bookmarkStart w:id="5" w:name="_Hlk191631445"/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czynności </w:t>
      </w:r>
      <w:bookmarkEnd w:id="5"/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będąca wynikiem odbioru (bez względu na rodzaj jednostki miary łącznie z rozliczeniem godzinowym faktycznego czasu wykonanej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). </w:t>
      </w:r>
      <w:bookmarkStart w:id="6" w:name="_Hlk191631496"/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Ilość odebranych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może różnić się od ilości zlecon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ej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, w przypadku gdy zlecono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ilość określoną 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szacunkowo lub wykonano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zgodnie z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dopuszczalną 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tolerancją. Procedura odbioru nie może służyć jedynie do potwierdzenia, że wykonane zostało tyle jednostek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,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ile zlecono</w:t>
      </w:r>
      <w:bookmarkEnd w:id="4"/>
      <w:bookmarkEnd w:id="6"/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.</w:t>
      </w:r>
    </w:p>
    <w:p w14:paraId="66DE3259" w14:textId="77777777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1.5.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  <w:t xml:space="preserve">Korzystając z Opisu standardu technologii wykonawstwa prac z zakresu </w:t>
      </w:r>
      <w:r w:rsidRPr="00786FD5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gospodarki łąkowo-rolnej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należy wziąć pod uwagę postanowienia aktów prawnych oraz wewnętrznych regulacji przywołanych w specyfikacji warunków zamówienia. </w:t>
      </w:r>
    </w:p>
    <w:p w14:paraId="753E5EE3" w14:textId="77777777" w:rsidR="00774624" w:rsidRPr="006E4520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1.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6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Załącznikiem do Opisu standardu technologii wykonawstwa prac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z </w:t>
      </w:r>
      <w:r w:rsidRPr="00786FD5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zakresu gospodarki łąkowo-rolnej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jest Tabela parametrów, w której ujęto opisy wymaganych parametrów dla poszczególnych technologii prac.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7" w:name="_Toc192159511"/>
      <w:r w:rsidRPr="0054534F">
        <w:t>Uprawa gleby</w:t>
      </w:r>
      <w:bookmarkEnd w:id="7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00906F10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FF7008C" w14:textId="50DC1AC1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vAlign w:val="center"/>
          </w:tcPr>
          <w:p w14:paraId="61DCBA66" w14:textId="0F1CD7A0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6BE7B617" w14:textId="7C05BC49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vAlign w:val="center"/>
          </w:tcPr>
          <w:p w14:paraId="334184CC" w14:textId="5E7171DA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73904412" w14:textId="75C849E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3D8536C8" w14:textId="77777777" w:rsidTr="009064D0">
        <w:trPr>
          <w:trHeight w:val="625"/>
          <w:jc w:val="center"/>
        </w:trPr>
        <w:tc>
          <w:tcPr>
            <w:tcW w:w="436" w:type="pct"/>
          </w:tcPr>
          <w:p w14:paraId="40016A7E" w14:textId="1CD73B28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79" w:type="pct"/>
          </w:tcPr>
          <w:p w14:paraId="115F27A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78" w:type="pct"/>
          </w:tcPr>
          <w:p w14:paraId="0A815311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1955" w:type="pct"/>
          </w:tcPr>
          <w:p w14:paraId="1E5C706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652" w:type="pct"/>
          </w:tcPr>
          <w:p w14:paraId="5B509587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9064D0">
        <w:trPr>
          <w:trHeight w:val="625"/>
          <w:jc w:val="center"/>
        </w:trPr>
        <w:tc>
          <w:tcPr>
            <w:tcW w:w="436" w:type="pct"/>
          </w:tcPr>
          <w:p w14:paraId="3A936F39" w14:textId="00C4C282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79" w:type="pct"/>
          </w:tcPr>
          <w:p w14:paraId="451EAC0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78" w:type="pct"/>
          </w:tcPr>
          <w:p w14:paraId="44B99B7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1955" w:type="pct"/>
          </w:tcPr>
          <w:p w14:paraId="1F8D52A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652" w:type="pct"/>
          </w:tcPr>
          <w:p w14:paraId="0BA7F21D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9064D0">
        <w:trPr>
          <w:trHeight w:val="625"/>
          <w:jc w:val="center"/>
        </w:trPr>
        <w:tc>
          <w:tcPr>
            <w:tcW w:w="436" w:type="pct"/>
          </w:tcPr>
          <w:p w14:paraId="293A7206" w14:textId="604556F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79" w:type="pct"/>
          </w:tcPr>
          <w:p w14:paraId="42351D2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78" w:type="pct"/>
          </w:tcPr>
          <w:p w14:paraId="0AAB69B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1955" w:type="pct"/>
          </w:tcPr>
          <w:p w14:paraId="6D04169A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652" w:type="pct"/>
          </w:tcPr>
          <w:p w14:paraId="50E412D2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9064D0">
        <w:trPr>
          <w:trHeight w:val="625"/>
          <w:jc w:val="center"/>
        </w:trPr>
        <w:tc>
          <w:tcPr>
            <w:tcW w:w="436" w:type="pct"/>
          </w:tcPr>
          <w:p w14:paraId="632093B9" w14:textId="0DEB750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79" w:type="pct"/>
          </w:tcPr>
          <w:p w14:paraId="73D0182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78" w:type="pct"/>
          </w:tcPr>
          <w:p w14:paraId="113BFC0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1955" w:type="pct"/>
          </w:tcPr>
          <w:p w14:paraId="45410458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652" w:type="pct"/>
          </w:tcPr>
          <w:p w14:paraId="6A506F58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9064D0">
        <w:trPr>
          <w:trHeight w:val="625"/>
          <w:jc w:val="center"/>
        </w:trPr>
        <w:tc>
          <w:tcPr>
            <w:tcW w:w="436" w:type="pct"/>
          </w:tcPr>
          <w:p w14:paraId="01445282" w14:textId="3B6D6DE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79" w:type="pct"/>
          </w:tcPr>
          <w:p w14:paraId="351DF18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78" w:type="pct"/>
          </w:tcPr>
          <w:p w14:paraId="58C6EF7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1955" w:type="pct"/>
          </w:tcPr>
          <w:p w14:paraId="62DE0C3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652" w:type="pct"/>
          </w:tcPr>
          <w:p w14:paraId="7B86DFD5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9064D0">
        <w:trPr>
          <w:trHeight w:val="625"/>
          <w:jc w:val="center"/>
        </w:trPr>
        <w:tc>
          <w:tcPr>
            <w:tcW w:w="436" w:type="pct"/>
          </w:tcPr>
          <w:p w14:paraId="162398C6" w14:textId="0A9449B7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79" w:type="pct"/>
          </w:tcPr>
          <w:p w14:paraId="6EA8AE1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78" w:type="pct"/>
          </w:tcPr>
          <w:p w14:paraId="582C49A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1955" w:type="pct"/>
          </w:tcPr>
          <w:p w14:paraId="3611B99F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652" w:type="pct"/>
          </w:tcPr>
          <w:p w14:paraId="610AE692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9064D0">
        <w:trPr>
          <w:trHeight w:val="625"/>
          <w:jc w:val="center"/>
        </w:trPr>
        <w:tc>
          <w:tcPr>
            <w:tcW w:w="436" w:type="pct"/>
          </w:tcPr>
          <w:p w14:paraId="782615FD" w14:textId="4A7D453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79" w:type="pct"/>
          </w:tcPr>
          <w:p w14:paraId="68269381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78" w:type="pct"/>
          </w:tcPr>
          <w:p w14:paraId="2AF59ACD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1955" w:type="pct"/>
          </w:tcPr>
          <w:p w14:paraId="2B40634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652" w:type="pct"/>
          </w:tcPr>
          <w:p w14:paraId="602D1BC4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9064D0">
        <w:trPr>
          <w:trHeight w:val="625"/>
          <w:jc w:val="center"/>
        </w:trPr>
        <w:tc>
          <w:tcPr>
            <w:tcW w:w="436" w:type="pct"/>
          </w:tcPr>
          <w:p w14:paraId="354827BE" w14:textId="0196BC29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79" w:type="pct"/>
          </w:tcPr>
          <w:p w14:paraId="2C29824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78" w:type="pct"/>
          </w:tcPr>
          <w:p w14:paraId="4F77F15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1955" w:type="pct"/>
          </w:tcPr>
          <w:p w14:paraId="4771EFF1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652" w:type="pct"/>
          </w:tcPr>
          <w:p w14:paraId="790ED4E0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9064D0">
        <w:trPr>
          <w:trHeight w:val="625"/>
          <w:jc w:val="center"/>
        </w:trPr>
        <w:tc>
          <w:tcPr>
            <w:tcW w:w="436" w:type="pct"/>
          </w:tcPr>
          <w:p w14:paraId="10FB323C" w14:textId="515EC055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79" w:type="pct"/>
          </w:tcPr>
          <w:p w14:paraId="0FC2EBA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78" w:type="pct"/>
          </w:tcPr>
          <w:p w14:paraId="43D861C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1955" w:type="pct"/>
          </w:tcPr>
          <w:p w14:paraId="5F2BFAE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652" w:type="pct"/>
          </w:tcPr>
          <w:p w14:paraId="3544D060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9064D0">
        <w:trPr>
          <w:trHeight w:val="625"/>
          <w:jc w:val="center"/>
        </w:trPr>
        <w:tc>
          <w:tcPr>
            <w:tcW w:w="436" w:type="pct"/>
          </w:tcPr>
          <w:p w14:paraId="4CD79952" w14:textId="72765426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79" w:type="pct"/>
          </w:tcPr>
          <w:p w14:paraId="0621B3E9" w14:textId="77777777" w:rsidR="004306B5" w:rsidRPr="009064D0" w:rsidRDefault="004306B5" w:rsidP="009064D0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78" w:type="pct"/>
          </w:tcPr>
          <w:p w14:paraId="55FFB24E" w14:textId="77777777" w:rsidR="004306B5" w:rsidRPr="009064D0" w:rsidRDefault="004306B5" w:rsidP="009064D0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1955" w:type="pct"/>
          </w:tcPr>
          <w:p w14:paraId="4D68512C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652" w:type="pct"/>
          </w:tcPr>
          <w:p w14:paraId="35FEE1F9" w14:textId="77777777" w:rsidR="004306B5" w:rsidRPr="009064D0" w:rsidRDefault="004306B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9064D0">
        <w:trPr>
          <w:trHeight w:val="625"/>
          <w:jc w:val="center"/>
        </w:trPr>
        <w:tc>
          <w:tcPr>
            <w:tcW w:w="436" w:type="pct"/>
          </w:tcPr>
          <w:p w14:paraId="5B6DA6F3" w14:textId="28B6E31C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79" w:type="pct"/>
          </w:tcPr>
          <w:p w14:paraId="18AA963D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78" w:type="pct"/>
          </w:tcPr>
          <w:p w14:paraId="6352737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1955" w:type="pct"/>
          </w:tcPr>
          <w:p w14:paraId="6D242C6A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652" w:type="pct"/>
          </w:tcPr>
          <w:p w14:paraId="1FC8C157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9064D0">
        <w:trPr>
          <w:trHeight w:val="625"/>
          <w:jc w:val="center"/>
        </w:trPr>
        <w:tc>
          <w:tcPr>
            <w:tcW w:w="436" w:type="pct"/>
          </w:tcPr>
          <w:p w14:paraId="72F28280" w14:textId="1B75041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611</w:t>
            </w:r>
          </w:p>
        </w:tc>
        <w:tc>
          <w:tcPr>
            <w:tcW w:w="979" w:type="pct"/>
          </w:tcPr>
          <w:p w14:paraId="5C855FB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78" w:type="pct"/>
          </w:tcPr>
          <w:p w14:paraId="03B5A2A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1955" w:type="pct"/>
          </w:tcPr>
          <w:p w14:paraId="6A2DE331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652" w:type="pct"/>
          </w:tcPr>
          <w:p w14:paraId="7D71B8AC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9064D0">
        <w:trPr>
          <w:trHeight w:val="625"/>
          <w:jc w:val="center"/>
        </w:trPr>
        <w:tc>
          <w:tcPr>
            <w:tcW w:w="436" w:type="pct"/>
          </w:tcPr>
          <w:p w14:paraId="72CB8E3D" w14:textId="4C1D633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79" w:type="pct"/>
          </w:tcPr>
          <w:p w14:paraId="061CB23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78" w:type="pct"/>
          </w:tcPr>
          <w:p w14:paraId="15ED01B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1955" w:type="pct"/>
          </w:tcPr>
          <w:p w14:paraId="4067328D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Oczyszczanie gruntów przezn. do uprawy ze zbędnych zakrzewień i zadrzewień poprzez wycinanie i wynoszenie wyciętego materiału - dla 100% pokrycia powierzchni</w:t>
            </w:r>
          </w:p>
        </w:tc>
        <w:tc>
          <w:tcPr>
            <w:tcW w:w="652" w:type="pct"/>
          </w:tcPr>
          <w:p w14:paraId="520B3518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23C9B232" w:rsidR="004306B5" w:rsidRPr="004306B5" w:rsidRDefault="004306B5" w:rsidP="0045080F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45A6B947" w:rsid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karczowanie pni polega na mechanicznym usunięciu pni z pól uprawnych w celu umożliwienia prowadzenia prac związanych z uprawą roli. Karpy powinny być wywiezione naodległość określoną w Tabeli parametrów</w:t>
      </w:r>
      <w:r w:rsidR="0045080F">
        <w:rPr>
          <w:rFonts w:ascii="Cambria" w:eastAsia="Calibri" w:hAnsi="Cambria" w:cs="Arial"/>
          <w:bCs/>
          <w:sz w:val="22"/>
          <w:szCs w:val="22"/>
          <w:lang w:eastAsia="pl-PL"/>
        </w:rPr>
        <w:t>,</w:t>
      </w:r>
    </w:p>
    <w:p w14:paraId="0F50A679" w14:textId="38210B47" w:rsidR="0045080F" w:rsidRPr="004306B5" w:rsidRDefault="0045080F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5080F">
        <w:rPr>
          <w:rFonts w:ascii="Cambria" w:eastAsia="Calibri" w:hAnsi="Cambria" w:cs="Arial"/>
          <w:bCs/>
          <w:sz w:val="22"/>
          <w:szCs w:val="22"/>
          <w:lang w:eastAsia="pl-PL"/>
        </w:rPr>
        <w:t>oczyszczanie gruntów przeznaczonych pod uprawę ze zb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ędnych zakrzewień i zadrzewień należy wykonać </w:t>
      </w:r>
      <w:r w:rsidRPr="0045080F">
        <w:rPr>
          <w:rFonts w:ascii="Cambria" w:eastAsia="Calibri" w:hAnsi="Cambria" w:cs="Arial"/>
          <w:bCs/>
          <w:sz w:val="22"/>
          <w:szCs w:val="22"/>
          <w:lang w:eastAsia="pl-PL"/>
        </w:rPr>
        <w:t>poprzez wycinanie i wynoszenie wycięte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go materiału na odległość do 25 </w:t>
      </w:r>
      <w:r w:rsidRPr="0045080F">
        <w:rPr>
          <w:rFonts w:ascii="Cambria" w:eastAsia="Calibri" w:hAnsi="Cambria" w:cs="Arial"/>
          <w:bCs/>
          <w:sz w:val="22"/>
          <w:szCs w:val="22"/>
          <w:lang w:eastAsia="pl-PL"/>
        </w:rPr>
        <w:t>m lub spychanie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>Stopień pokrycia 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8" w:name="_Toc192159512"/>
      <w:r w:rsidRPr="0054534F">
        <w:t>Nawożenie</w:t>
      </w:r>
      <w:bookmarkEnd w:id="8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7771D6E9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6AF93132" w14:textId="0CD50D1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vAlign w:val="center"/>
          </w:tcPr>
          <w:p w14:paraId="74E13C9A" w14:textId="0D985FB5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FDEE072" w14:textId="6E23616A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vAlign w:val="center"/>
          </w:tcPr>
          <w:p w14:paraId="24556309" w14:textId="3157CBC0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7AC52037" w14:textId="295F0767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31737909" w14:textId="77777777" w:rsidTr="009064D0">
        <w:trPr>
          <w:trHeight w:val="625"/>
          <w:jc w:val="center"/>
        </w:trPr>
        <w:tc>
          <w:tcPr>
            <w:tcW w:w="436" w:type="pct"/>
          </w:tcPr>
          <w:p w14:paraId="654EAF70" w14:textId="74E3868A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79" w:type="pct"/>
          </w:tcPr>
          <w:p w14:paraId="16AD533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78" w:type="pct"/>
          </w:tcPr>
          <w:p w14:paraId="125D9A81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1955" w:type="pct"/>
          </w:tcPr>
          <w:p w14:paraId="2BFD0B9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652" w:type="pct"/>
          </w:tcPr>
          <w:p w14:paraId="25B1CF89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9064D0">
        <w:trPr>
          <w:trHeight w:val="625"/>
          <w:jc w:val="center"/>
        </w:trPr>
        <w:tc>
          <w:tcPr>
            <w:tcW w:w="436" w:type="pct"/>
          </w:tcPr>
          <w:p w14:paraId="35F725F0" w14:textId="318277F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79" w:type="pct"/>
          </w:tcPr>
          <w:p w14:paraId="65772F98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78" w:type="pct"/>
          </w:tcPr>
          <w:p w14:paraId="2869B808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1955" w:type="pct"/>
          </w:tcPr>
          <w:p w14:paraId="7AC5CE4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652" w:type="pct"/>
          </w:tcPr>
          <w:p w14:paraId="1186EBDC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9064D0">
        <w:trPr>
          <w:trHeight w:val="625"/>
          <w:jc w:val="center"/>
        </w:trPr>
        <w:tc>
          <w:tcPr>
            <w:tcW w:w="436" w:type="pct"/>
          </w:tcPr>
          <w:p w14:paraId="76C4AE3D" w14:textId="0326D746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79" w:type="pct"/>
          </w:tcPr>
          <w:p w14:paraId="725D58B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78" w:type="pct"/>
          </w:tcPr>
          <w:p w14:paraId="0221440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1955" w:type="pct"/>
          </w:tcPr>
          <w:p w14:paraId="513B17B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652" w:type="pct"/>
          </w:tcPr>
          <w:p w14:paraId="630954D1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281EB2C9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</w:t>
      </w:r>
      <w:r w:rsidR="0045080F">
        <w:rPr>
          <w:rFonts w:ascii="Cambria" w:eastAsia="Calibri" w:hAnsi="Cambria" w:cs="Arial"/>
          <w:sz w:val="22"/>
          <w:szCs w:val="22"/>
          <w:lang w:eastAsia="en-US"/>
        </w:rPr>
        <w:t>nawożeniem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bookmarkStart w:id="9" w:name="_Toc192159513"/>
      <w:r w:rsidRPr="0054534F">
        <w:lastRenderedPageBreak/>
        <w:t>Siew nasion, sadzenie bulw, sadzonek drzew i krzewów</w:t>
      </w:r>
      <w:bookmarkEnd w:id="9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51DD983D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8517459" w14:textId="352768FB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vAlign w:val="center"/>
          </w:tcPr>
          <w:p w14:paraId="07E9305C" w14:textId="61EBA735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17F0EB7A" w14:textId="01DCB12C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vAlign w:val="center"/>
          </w:tcPr>
          <w:p w14:paraId="108667B0" w14:textId="42E610A7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F447F8A" w14:textId="67C89E8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54A72AFD" w14:textId="77777777" w:rsidTr="009064D0">
        <w:trPr>
          <w:trHeight w:val="625"/>
          <w:jc w:val="center"/>
        </w:trPr>
        <w:tc>
          <w:tcPr>
            <w:tcW w:w="436" w:type="pct"/>
          </w:tcPr>
          <w:p w14:paraId="3D264476" w14:textId="74B08109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79" w:type="pct"/>
          </w:tcPr>
          <w:p w14:paraId="001D36B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78" w:type="pct"/>
          </w:tcPr>
          <w:p w14:paraId="7BC8C7C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1955" w:type="pct"/>
          </w:tcPr>
          <w:p w14:paraId="60A4C0BC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652" w:type="pct"/>
          </w:tcPr>
          <w:p w14:paraId="2B82D160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9064D0">
        <w:trPr>
          <w:trHeight w:val="625"/>
          <w:jc w:val="center"/>
        </w:trPr>
        <w:tc>
          <w:tcPr>
            <w:tcW w:w="436" w:type="pct"/>
          </w:tcPr>
          <w:p w14:paraId="2C2900F5" w14:textId="3D9F52C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79" w:type="pct"/>
          </w:tcPr>
          <w:p w14:paraId="3C1670B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78" w:type="pct"/>
          </w:tcPr>
          <w:p w14:paraId="43EE579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1955" w:type="pct"/>
          </w:tcPr>
          <w:p w14:paraId="29A44B60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652" w:type="pct"/>
          </w:tcPr>
          <w:p w14:paraId="1EEC68D6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9064D0">
        <w:trPr>
          <w:trHeight w:val="625"/>
          <w:jc w:val="center"/>
        </w:trPr>
        <w:tc>
          <w:tcPr>
            <w:tcW w:w="436" w:type="pct"/>
          </w:tcPr>
          <w:p w14:paraId="08108E1D" w14:textId="14BAEAAD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79" w:type="pct"/>
          </w:tcPr>
          <w:p w14:paraId="7E28AB2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78" w:type="pct"/>
          </w:tcPr>
          <w:p w14:paraId="793ACEFB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1955" w:type="pct"/>
          </w:tcPr>
          <w:p w14:paraId="60236EE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52" w:type="pct"/>
          </w:tcPr>
          <w:p w14:paraId="4A61F679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9064D0">
        <w:trPr>
          <w:trHeight w:val="625"/>
          <w:jc w:val="center"/>
        </w:trPr>
        <w:tc>
          <w:tcPr>
            <w:tcW w:w="436" w:type="pct"/>
          </w:tcPr>
          <w:p w14:paraId="50007242" w14:textId="128CD77D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79" w:type="pct"/>
          </w:tcPr>
          <w:p w14:paraId="3C2C2D9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78" w:type="pct"/>
          </w:tcPr>
          <w:p w14:paraId="05DDA4A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1955" w:type="pct"/>
          </w:tcPr>
          <w:p w14:paraId="2301F68E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652" w:type="pct"/>
          </w:tcPr>
          <w:p w14:paraId="1D5C6A4C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9064D0">
        <w:trPr>
          <w:trHeight w:val="625"/>
          <w:jc w:val="center"/>
        </w:trPr>
        <w:tc>
          <w:tcPr>
            <w:tcW w:w="436" w:type="pct"/>
          </w:tcPr>
          <w:p w14:paraId="674A6D49" w14:textId="131B4834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79" w:type="pct"/>
          </w:tcPr>
          <w:p w14:paraId="2D4F87A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78" w:type="pct"/>
          </w:tcPr>
          <w:p w14:paraId="5F12D38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1955" w:type="pct"/>
          </w:tcPr>
          <w:p w14:paraId="7048AF30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652" w:type="pct"/>
          </w:tcPr>
          <w:p w14:paraId="2F75AE8A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9064D0">
        <w:trPr>
          <w:trHeight w:val="625"/>
          <w:jc w:val="center"/>
        </w:trPr>
        <w:tc>
          <w:tcPr>
            <w:tcW w:w="436" w:type="pct"/>
          </w:tcPr>
          <w:p w14:paraId="62B0FFE4" w14:textId="57E5A08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79" w:type="pct"/>
          </w:tcPr>
          <w:p w14:paraId="3B55C6FD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78" w:type="pct"/>
          </w:tcPr>
          <w:p w14:paraId="64BFA6B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1955" w:type="pct"/>
          </w:tcPr>
          <w:p w14:paraId="276C576F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652" w:type="pct"/>
          </w:tcPr>
          <w:p w14:paraId="02630EB3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9064D0">
        <w:trPr>
          <w:trHeight w:val="625"/>
          <w:jc w:val="center"/>
        </w:trPr>
        <w:tc>
          <w:tcPr>
            <w:tcW w:w="436" w:type="pct"/>
          </w:tcPr>
          <w:p w14:paraId="4AFD0135" w14:textId="7146EA9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79" w:type="pct"/>
          </w:tcPr>
          <w:p w14:paraId="67242F8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78" w:type="pct"/>
          </w:tcPr>
          <w:p w14:paraId="723F859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1955" w:type="pct"/>
          </w:tcPr>
          <w:p w14:paraId="09F4B2E6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652" w:type="pct"/>
          </w:tcPr>
          <w:p w14:paraId="0B7FC825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9064D0">
        <w:trPr>
          <w:trHeight w:val="625"/>
          <w:jc w:val="center"/>
        </w:trPr>
        <w:tc>
          <w:tcPr>
            <w:tcW w:w="436" w:type="pct"/>
          </w:tcPr>
          <w:p w14:paraId="3F2292F6" w14:textId="350850C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79" w:type="pct"/>
          </w:tcPr>
          <w:p w14:paraId="2C6CC1E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78" w:type="pct"/>
          </w:tcPr>
          <w:p w14:paraId="6356BEC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1955" w:type="pct"/>
          </w:tcPr>
          <w:p w14:paraId="11E11982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652" w:type="pct"/>
          </w:tcPr>
          <w:p w14:paraId="039C3B77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3CBD8244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 xml:space="preserve">wysiew nasion siewnikiem punktowym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41CB53E6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siew nasion rzutem na powierzchnię otwartą należy wykonać w ilości zależnej </w:t>
      </w:r>
      <w:r w:rsidR="000D6F5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4D3B3BDA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</w:t>
      </w:r>
      <w:r w:rsidR="00AB393B">
        <w:rPr>
          <w:rFonts w:ascii="Cambria" w:eastAsia="Calibri" w:hAnsi="Cambria" w:cs="Arial"/>
          <w:sz w:val="22"/>
          <w:szCs w:val="22"/>
          <w:lang w:eastAsia="en-US"/>
        </w:rPr>
        <w:t xml:space="preserve">siewem nasion, sadzeniem bulw, sadzonek drzew i krzewów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8473580" w14:textId="7C69E81A" w:rsidR="004306B5" w:rsidRPr="004306B5" w:rsidRDefault="004306B5" w:rsidP="00AB393B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0" w:name="_Toc192159514"/>
      <w:r w:rsidRPr="0054534F">
        <w:t>Opryski chemiczne</w:t>
      </w:r>
      <w:bookmarkEnd w:id="10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3A0D1B85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27A2315" w14:textId="0632DF6D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vAlign w:val="center"/>
          </w:tcPr>
          <w:p w14:paraId="12A09C3F" w14:textId="14298830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3696D888" w14:textId="59CCEF9F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vAlign w:val="center"/>
          </w:tcPr>
          <w:p w14:paraId="53FDA35C" w14:textId="08D8819D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4470E4FA" w14:textId="5E28C4E4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14CE59E9" w14:textId="77777777" w:rsidTr="009064D0">
        <w:trPr>
          <w:trHeight w:val="625"/>
          <w:jc w:val="center"/>
        </w:trPr>
        <w:tc>
          <w:tcPr>
            <w:tcW w:w="436" w:type="pct"/>
          </w:tcPr>
          <w:p w14:paraId="23E588D9" w14:textId="5D70C47F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79" w:type="pct"/>
          </w:tcPr>
          <w:p w14:paraId="37BFA3E8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78" w:type="pct"/>
          </w:tcPr>
          <w:p w14:paraId="4DFFC22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1955" w:type="pct"/>
          </w:tcPr>
          <w:p w14:paraId="67C898A7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652" w:type="pct"/>
          </w:tcPr>
          <w:p w14:paraId="15951EE1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583662C7" w:rsid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39784097" w14:textId="369FAE9C" w:rsidR="00AB393B" w:rsidRPr="004306B5" w:rsidRDefault="00AB393B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bCs/>
          <w:sz w:val="22"/>
          <w:szCs w:val="22"/>
          <w:lang w:eastAsia="pl-PL"/>
        </w:rPr>
        <w:t>wykonanie zabiegu,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3600"/>
        <w:gridCol w:w="1200"/>
      </w:tblGrid>
      <w:tr w:rsidR="004306B5" w:rsidRPr="004306B5" w14:paraId="50010683" w14:textId="77777777" w:rsidTr="009064D0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14180DB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0D279598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3C5C720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025FE2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EABC631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 czynn. rozl.</w:t>
            </w:r>
          </w:p>
        </w:tc>
      </w:tr>
      <w:tr w:rsidR="004306B5" w:rsidRPr="004306B5" w14:paraId="541403C9" w14:textId="77777777" w:rsidTr="009064D0">
        <w:trPr>
          <w:cantSplit/>
          <w:trHeight w:val="661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3A0A9" w14:textId="0FF7151E" w:rsidR="004306B5" w:rsidRPr="009064D0" w:rsidRDefault="00277445" w:rsidP="009064D0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761C3" w14:textId="4B0613C3" w:rsidR="004306B5" w:rsidRPr="009064D0" w:rsidRDefault="00117DFE" w:rsidP="009064D0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117DFE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ŁR-KOSZZI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E6509" w14:textId="63F13E92" w:rsidR="004306B5" w:rsidRPr="009064D0" w:rsidRDefault="00117DFE" w:rsidP="009064D0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117DFE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ŁR-KOSZZI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6D307" w14:textId="77777777" w:rsidR="004306B5" w:rsidRPr="009064D0" w:rsidRDefault="004306B5" w:rsidP="009064D0">
            <w:pPr>
              <w:spacing w:line="256" w:lineRule="auto"/>
              <w:jc w:val="both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9064D0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A7555" w14:textId="77777777" w:rsidR="004306B5" w:rsidRPr="009064D0" w:rsidRDefault="004306B5" w:rsidP="009064D0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lastRenderedPageBreak/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1" w:name="_Toc192159515"/>
      <w:r w:rsidRPr="0054534F">
        <w:t>Zbiór płodów</w:t>
      </w:r>
      <w:bookmarkEnd w:id="11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713A966C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6E4A3D8" w14:textId="6CF3F57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vAlign w:val="center"/>
          </w:tcPr>
          <w:p w14:paraId="7C6E791F" w14:textId="224911C6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35298A6E" w14:textId="54D0268A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vAlign w:val="center"/>
          </w:tcPr>
          <w:p w14:paraId="15B074A8" w14:textId="1027C923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2D780A94" w14:textId="226E6A39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01B05FDC" w14:textId="77777777" w:rsidTr="009064D0">
        <w:trPr>
          <w:trHeight w:val="625"/>
          <w:jc w:val="center"/>
        </w:trPr>
        <w:tc>
          <w:tcPr>
            <w:tcW w:w="436" w:type="pct"/>
          </w:tcPr>
          <w:p w14:paraId="6FA99216" w14:textId="1F0CDB9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626</w:t>
            </w:r>
          </w:p>
        </w:tc>
        <w:tc>
          <w:tcPr>
            <w:tcW w:w="979" w:type="pct"/>
          </w:tcPr>
          <w:p w14:paraId="575642B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78" w:type="pct"/>
          </w:tcPr>
          <w:p w14:paraId="234A2F8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1955" w:type="pct"/>
          </w:tcPr>
          <w:p w14:paraId="700E786D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652" w:type="pct"/>
          </w:tcPr>
          <w:p w14:paraId="762EEFBF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9064D0">
        <w:trPr>
          <w:trHeight w:val="625"/>
          <w:jc w:val="center"/>
        </w:trPr>
        <w:tc>
          <w:tcPr>
            <w:tcW w:w="436" w:type="pct"/>
          </w:tcPr>
          <w:p w14:paraId="665A3CEF" w14:textId="12CABE90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79" w:type="pct"/>
          </w:tcPr>
          <w:p w14:paraId="2EE077A4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78" w:type="pct"/>
          </w:tcPr>
          <w:p w14:paraId="745A9EC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1955" w:type="pct"/>
          </w:tcPr>
          <w:p w14:paraId="5389133A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652" w:type="pct"/>
          </w:tcPr>
          <w:p w14:paraId="4CB36C11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9064D0">
        <w:trPr>
          <w:trHeight w:val="625"/>
          <w:jc w:val="center"/>
        </w:trPr>
        <w:tc>
          <w:tcPr>
            <w:tcW w:w="436" w:type="pct"/>
          </w:tcPr>
          <w:p w14:paraId="7A34BE57" w14:textId="3E61B2C5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79" w:type="pct"/>
          </w:tcPr>
          <w:p w14:paraId="54770D5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78" w:type="pct"/>
          </w:tcPr>
          <w:p w14:paraId="76476E4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1955" w:type="pct"/>
          </w:tcPr>
          <w:p w14:paraId="2D5EE2C1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652" w:type="pct"/>
          </w:tcPr>
          <w:p w14:paraId="2C2DBFE2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9064D0">
        <w:trPr>
          <w:trHeight w:val="625"/>
          <w:jc w:val="center"/>
        </w:trPr>
        <w:tc>
          <w:tcPr>
            <w:tcW w:w="436" w:type="pct"/>
          </w:tcPr>
          <w:p w14:paraId="61837E3F" w14:textId="2E20FC4A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79" w:type="pct"/>
          </w:tcPr>
          <w:p w14:paraId="0C8F24A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78" w:type="pct"/>
          </w:tcPr>
          <w:p w14:paraId="6A7E1ED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1955" w:type="pct"/>
          </w:tcPr>
          <w:p w14:paraId="037207D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652" w:type="pct"/>
          </w:tcPr>
          <w:p w14:paraId="48A3352B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9064D0">
        <w:trPr>
          <w:trHeight w:val="625"/>
          <w:jc w:val="center"/>
        </w:trPr>
        <w:tc>
          <w:tcPr>
            <w:tcW w:w="436" w:type="pct"/>
          </w:tcPr>
          <w:p w14:paraId="60C48E50" w14:textId="13E5D3F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79" w:type="pct"/>
          </w:tcPr>
          <w:p w14:paraId="6F94737E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78" w:type="pct"/>
          </w:tcPr>
          <w:p w14:paraId="2D1FA03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1955" w:type="pct"/>
          </w:tcPr>
          <w:p w14:paraId="3151FFC6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652" w:type="pct"/>
          </w:tcPr>
          <w:p w14:paraId="31CE25B3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9064D0">
        <w:trPr>
          <w:trHeight w:val="625"/>
          <w:jc w:val="center"/>
        </w:trPr>
        <w:tc>
          <w:tcPr>
            <w:tcW w:w="436" w:type="pct"/>
          </w:tcPr>
          <w:p w14:paraId="3F800B08" w14:textId="2E6FB598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79" w:type="pct"/>
          </w:tcPr>
          <w:p w14:paraId="2E34172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78" w:type="pct"/>
          </w:tcPr>
          <w:p w14:paraId="1F685C6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1955" w:type="pct"/>
          </w:tcPr>
          <w:p w14:paraId="01ADA839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652" w:type="pct"/>
          </w:tcPr>
          <w:p w14:paraId="7E1B4D26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9064D0">
        <w:trPr>
          <w:trHeight w:val="625"/>
          <w:jc w:val="center"/>
        </w:trPr>
        <w:tc>
          <w:tcPr>
            <w:tcW w:w="436" w:type="pct"/>
          </w:tcPr>
          <w:p w14:paraId="53B4E99C" w14:textId="36265A32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79" w:type="pct"/>
          </w:tcPr>
          <w:p w14:paraId="5E72EDB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78" w:type="pct"/>
          </w:tcPr>
          <w:p w14:paraId="7A179DB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1955" w:type="pct"/>
          </w:tcPr>
          <w:p w14:paraId="770958F4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652" w:type="pct"/>
          </w:tcPr>
          <w:p w14:paraId="3CA677C3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9064D0">
        <w:trPr>
          <w:trHeight w:val="625"/>
          <w:jc w:val="center"/>
        </w:trPr>
        <w:tc>
          <w:tcPr>
            <w:tcW w:w="436" w:type="pct"/>
          </w:tcPr>
          <w:p w14:paraId="02120745" w14:textId="7193D415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79" w:type="pct"/>
          </w:tcPr>
          <w:p w14:paraId="08ADA37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78" w:type="pct"/>
          </w:tcPr>
          <w:p w14:paraId="08656F1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1955" w:type="pct"/>
          </w:tcPr>
          <w:p w14:paraId="36649CAB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652" w:type="pct"/>
          </w:tcPr>
          <w:p w14:paraId="4CDB2158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AC7A30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</w:t>
      </w:r>
      <w:r w:rsidR="00AB393B">
        <w:rPr>
          <w:rFonts w:ascii="Cambria" w:eastAsia="Calibri" w:hAnsi="Cambria" w:cs="Arial"/>
          <w:bCs/>
          <w:sz w:val="22"/>
          <w:szCs w:val="22"/>
          <w:lang w:eastAsia="pl-PL"/>
        </w:rPr>
        <w:t>/ziemniaków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polega na: usunięciu suchych - nadziemnych części roślin oraz mechaniczne wykopanie bulw topinamburu</w:t>
      </w:r>
      <w:r w:rsidR="00AB393B">
        <w:rPr>
          <w:rFonts w:ascii="Cambria" w:eastAsia="Calibri" w:hAnsi="Cambria" w:cs="Arial"/>
          <w:bCs/>
          <w:sz w:val="22"/>
          <w:szCs w:val="22"/>
          <w:lang w:eastAsia="pl-PL"/>
        </w:rPr>
        <w:t>/ziemniaków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69C74A46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</w:t>
      </w:r>
      <w:r w:rsidR="00AB393B">
        <w:rPr>
          <w:rFonts w:ascii="Cambria" w:eastAsia="Calibri" w:hAnsi="Cambria" w:cs="Arial"/>
          <w:sz w:val="22"/>
          <w:szCs w:val="22"/>
          <w:lang w:eastAsia="en-US"/>
        </w:rPr>
        <w:t>ze zbiorem płodów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2" w:name="_Toc192159516"/>
      <w:r w:rsidRPr="0054534F">
        <w:t>Zbiór płodów( zbóż)</w:t>
      </w:r>
      <w:bookmarkEnd w:id="12"/>
    </w:p>
    <w:tbl>
      <w:tblPr>
        <w:tblW w:w="5061" w:type="pct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7"/>
        <w:gridCol w:w="1788"/>
        <w:gridCol w:w="1788"/>
        <w:gridCol w:w="3578"/>
        <w:gridCol w:w="1201"/>
      </w:tblGrid>
      <w:tr w:rsidR="004306B5" w:rsidRPr="004306B5" w14:paraId="2FB46391" w14:textId="77777777" w:rsidTr="009064D0">
        <w:trPr>
          <w:trHeight w:val="600"/>
          <w:tblHeader/>
        </w:trPr>
        <w:tc>
          <w:tcPr>
            <w:tcW w:w="435" w:type="pct"/>
            <w:vAlign w:val="center"/>
          </w:tcPr>
          <w:p w14:paraId="1C0F964C" w14:textId="113B2A5A" w:rsidR="004306B5" w:rsidRPr="009064D0" w:rsidRDefault="009064D0" w:rsidP="009064D0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7" w:type="pct"/>
            <w:vAlign w:val="center"/>
            <w:hideMark/>
          </w:tcPr>
          <w:p w14:paraId="1D05AA71" w14:textId="613E3E63" w:rsidR="004306B5" w:rsidRPr="009064D0" w:rsidRDefault="009064D0" w:rsidP="009064D0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7" w:type="pct"/>
            <w:vAlign w:val="center"/>
          </w:tcPr>
          <w:p w14:paraId="7D6879CD" w14:textId="250BD5A2" w:rsidR="004306B5" w:rsidRPr="009064D0" w:rsidRDefault="009064D0" w:rsidP="009064D0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5" w:type="pct"/>
            <w:vAlign w:val="center"/>
            <w:hideMark/>
          </w:tcPr>
          <w:p w14:paraId="2C15BBFD" w14:textId="33A24681" w:rsidR="004306B5" w:rsidRPr="009064D0" w:rsidRDefault="009064D0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6" w:type="pct"/>
            <w:vAlign w:val="center"/>
            <w:hideMark/>
          </w:tcPr>
          <w:p w14:paraId="58D99EF8" w14:textId="4F840E66" w:rsidR="004306B5" w:rsidRPr="009064D0" w:rsidRDefault="009064D0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42B9348C" w14:textId="77777777" w:rsidTr="009064D0">
        <w:trPr>
          <w:trHeight w:val="638"/>
        </w:trPr>
        <w:tc>
          <w:tcPr>
            <w:tcW w:w="435" w:type="pct"/>
          </w:tcPr>
          <w:p w14:paraId="365C727D" w14:textId="52629F05" w:rsidR="004306B5" w:rsidRPr="009064D0" w:rsidRDefault="0027744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977" w:type="pct"/>
            <w:hideMark/>
          </w:tcPr>
          <w:p w14:paraId="13A103D3" w14:textId="182652D5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  <w:r w:rsidR="00AB393B">
              <w:rPr>
                <w:rFonts w:ascii="Cambria" w:eastAsia="Calibri" w:hAnsi="Cambria" w:cs="Arial"/>
                <w:color w:val="000000"/>
                <w:sz w:val="22"/>
                <w:szCs w:val="22"/>
              </w:rPr>
              <w:t>R</w:t>
            </w:r>
          </w:p>
        </w:tc>
        <w:tc>
          <w:tcPr>
            <w:tcW w:w="977" w:type="pct"/>
          </w:tcPr>
          <w:p w14:paraId="231C6409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955" w:type="pct"/>
            <w:hideMark/>
          </w:tcPr>
          <w:p w14:paraId="13367175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56" w:type="pct"/>
            <w:hideMark/>
          </w:tcPr>
          <w:p w14:paraId="2AAB5438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9064D0">
        <w:trPr>
          <w:trHeight w:val="638"/>
        </w:trPr>
        <w:tc>
          <w:tcPr>
            <w:tcW w:w="435" w:type="pct"/>
          </w:tcPr>
          <w:p w14:paraId="5621BEEB" w14:textId="1D794D6D" w:rsidR="004306B5" w:rsidRPr="009064D0" w:rsidRDefault="00AB393B" w:rsidP="00AB393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977" w:type="pct"/>
          </w:tcPr>
          <w:p w14:paraId="67A611F7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977" w:type="pct"/>
          </w:tcPr>
          <w:p w14:paraId="690C0D57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955" w:type="pct"/>
          </w:tcPr>
          <w:p w14:paraId="0E68AFEE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56" w:type="pct"/>
          </w:tcPr>
          <w:p w14:paraId="6131F176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9064D0">
        <w:trPr>
          <w:trHeight w:val="638"/>
        </w:trPr>
        <w:tc>
          <w:tcPr>
            <w:tcW w:w="435" w:type="pct"/>
          </w:tcPr>
          <w:p w14:paraId="7BE8CE8B" w14:textId="3AC43852" w:rsidR="004306B5" w:rsidRPr="009064D0" w:rsidRDefault="0027744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977" w:type="pct"/>
          </w:tcPr>
          <w:p w14:paraId="2D48A1B5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977" w:type="pct"/>
          </w:tcPr>
          <w:p w14:paraId="5670764B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955" w:type="pct"/>
          </w:tcPr>
          <w:p w14:paraId="3376F769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56" w:type="pct"/>
          </w:tcPr>
          <w:p w14:paraId="75FE3AA7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9064D0">
        <w:trPr>
          <w:trHeight w:val="638"/>
        </w:trPr>
        <w:tc>
          <w:tcPr>
            <w:tcW w:w="435" w:type="pct"/>
          </w:tcPr>
          <w:p w14:paraId="3658EB51" w14:textId="76D54D2F" w:rsidR="004306B5" w:rsidRPr="009064D0" w:rsidRDefault="0027744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lastRenderedPageBreak/>
              <w:t>637</w:t>
            </w:r>
          </w:p>
        </w:tc>
        <w:tc>
          <w:tcPr>
            <w:tcW w:w="977" w:type="pct"/>
          </w:tcPr>
          <w:p w14:paraId="0C48541A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977" w:type="pct"/>
          </w:tcPr>
          <w:p w14:paraId="4DCF1C79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955" w:type="pct"/>
          </w:tcPr>
          <w:p w14:paraId="1D841C2F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56" w:type="pct"/>
          </w:tcPr>
          <w:p w14:paraId="703A02D3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802"/>
        <w:gridCol w:w="1800"/>
        <w:gridCol w:w="3598"/>
        <w:gridCol w:w="1200"/>
      </w:tblGrid>
      <w:tr w:rsidR="004306B5" w:rsidRPr="004306B5" w14:paraId="39BCAD54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20D58268" w14:textId="79166D28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979" w:type="pct"/>
            <w:vAlign w:val="center"/>
          </w:tcPr>
          <w:p w14:paraId="39F89923" w14:textId="3603229D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1117A6E3" w14:textId="74E72D07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Kod czynn. / materiału do wyceny</w:t>
            </w:r>
          </w:p>
        </w:tc>
        <w:tc>
          <w:tcPr>
            <w:tcW w:w="1955" w:type="pct"/>
            <w:vAlign w:val="center"/>
          </w:tcPr>
          <w:p w14:paraId="536A1DC4" w14:textId="09EA4EA0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2904D719" w14:textId="60671478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Jednostka miary czynn. rozl.</w:t>
            </w:r>
          </w:p>
        </w:tc>
      </w:tr>
      <w:tr w:rsidR="004306B5" w:rsidRPr="004306B5" w14:paraId="5BEA4CD9" w14:textId="77777777" w:rsidTr="009064D0">
        <w:trPr>
          <w:trHeight w:val="625"/>
          <w:jc w:val="center"/>
        </w:trPr>
        <w:tc>
          <w:tcPr>
            <w:tcW w:w="436" w:type="pct"/>
          </w:tcPr>
          <w:p w14:paraId="165241CA" w14:textId="25344AE4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sz w:val="22"/>
                <w:szCs w:val="22"/>
              </w:rPr>
            </w:pPr>
            <w:r>
              <w:rPr>
                <w:rFonts w:ascii="Cambria" w:eastAsia="Calibri" w:hAnsi="Cambria" w:cs="Arial"/>
                <w:sz w:val="22"/>
                <w:szCs w:val="22"/>
              </w:rPr>
              <w:t>638</w:t>
            </w:r>
          </w:p>
        </w:tc>
        <w:tc>
          <w:tcPr>
            <w:tcW w:w="979" w:type="pct"/>
          </w:tcPr>
          <w:p w14:paraId="6CB2A6CA" w14:textId="77777777" w:rsidR="004306B5" w:rsidRPr="009064D0" w:rsidRDefault="004306B5" w:rsidP="009064D0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78" w:type="pct"/>
          </w:tcPr>
          <w:p w14:paraId="1CB58D5E" w14:textId="77777777" w:rsidR="004306B5" w:rsidRPr="009064D0" w:rsidRDefault="004306B5" w:rsidP="009064D0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1955" w:type="pct"/>
          </w:tcPr>
          <w:p w14:paraId="7BFD1DE5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652" w:type="pct"/>
          </w:tcPr>
          <w:p w14:paraId="3870D6B9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lastRenderedPageBreak/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3" w:name="_Toc192159517"/>
      <w:r w:rsidRPr="0054534F">
        <w:t>Prace godzinowe ręczne i mechaniczne</w:t>
      </w:r>
      <w:bookmarkEnd w:id="13"/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3"/>
        <w:gridCol w:w="1799"/>
        <w:gridCol w:w="1799"/>
        <w:gridCol w:w="3600"/>
        <w:gridCol w:w="1198"/>
      </w:tblGrid>
      <w:tr w:rsidR="004306B5" w:rsidRPr="004306B5" w14:paraId="7556A18E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665DD71" w14:textId="383229E2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7CED091F" w14:textId="29F1D01A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2C83D8A2" w14:textId="108385C0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7" w:type="pct"/>
            <w:vAlign w:val="center"/>
          </w:tcPr>
          <w:p w14:paraId="591A87C1" w14:textId="6B0FB612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69D6ED33" w14:textId="337083A3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4306B5" w:rsidRPr="004306B5" w14:paraId="7861F42B" w14:textId="77777777" w:rsidTr="009064D0">
        <w:trPr>
          <w:jc w:val="center"/>
        </w:trPr>
        <w:tc>
          <w:tcPr>
            <w:tcW w:w="436" w:type="pct"/>
          </w:tcPr>
          <w:p w14:paraId="1780B13C" w14:textId="77C036A0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639</w:t>
            </w:r>
          </w:p>
        </w:tc>
        <w:tc>
          <w:tcPr>
            <w:tcW w:w="978" w:type="pct"/>
          </w:tcPr>
          <w:p w14:paraId="3F1C0CF5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78" w:type="pct"/>
          </w:tcPr>
          <w:p w14:paraId="3229FBC1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57" w:type="pct"/>
          </w:tcPr>
          <w:p w14:paraId="0FABF268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652" w:type="pct"/>
          </w:tcPr>
          <w:p w14:paraId="527F4AB5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9064D0">
        <w:trPr>
          <w:jc w:val="center"/>
        </w:trPr>
        <w:tc>
          <w:tcPr>
            <w:tcW w:w="436" w:type="pct"/>
          </w:tcPr>
          <w:p w14:paraId="60E0FD78" w14:textId="29C07F0B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78" w:type="pct"/>
          </w:tcPr>
          <w:p w14:paraId="3268DB82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78" w:type="pct"/>
          </w:tcPr>
          <w:p w14:paraId="7BB9C7D0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57" w:type="pct"/>
          </w:tcPr>
          <w:p w14:paraId="2133829B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652" w:type="pct"/>
          </w:tcPr>
          <w:p w14:paraId="50263A84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9064D0">
        <w:trPr>
          <w:jc w:val="center"/>
        </w:trPr>
        <w:tc>
          <w:tcPr>
            <w:tcW w:w="436" w:type="pct"/>
          </w:tcPr>
          <w:p w14:paraId="3BE3975B" w14:textId="3BADAEE0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78" w:type="pct"/>
          </w:tcPr>
          <w:p w14:paraId="25325D38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78" w:type="pct"/>
          </w:tcPr>
          <w:p w14:paraId="182EFB0C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57" w:type="pct"/>
          </w:tcPr>
          <w:p w14:paraId="5D61BCB2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652" w:type="pct"/>
          </w:tcPr>
          <w:p w14:paraId="0990E17E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9064D0">
        <w:trPr>
          <w:jc w:val="center"/>
        </w:trPr>
        <w:tc>
          <w:tcPr>
            <w:tcW w:w="436" w:type="pct"/>
          </w:tcPr>
          <w:p w14:paraId="7E34CB4A" w14:textId="42B94E68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78" w:type="pct"/>
          </w:tcPr>
          <w:p w14:paraId="4A67C8AC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78" w:type="pct"/>
          </w:tcPr>
          <w:p w14:paraId="0A8A52D1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57" w:type="pct"/>
          </w:tcPr>
          <w:p w14:paraId="7797D7B7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652" w:type="pct"/>
          </w:tcPr>
          <w:p w14:paraId="173B85BD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9064D0">
        <w:trPr>
          <w:jc w:val="center"/>
        </w:trPr>
        <w:tc>
          <w:tcPr>
            <w:tcW w:w="436" w:type="pct"/>
          </w:tcPr>
          <w:p w14:paraId="7A2B66FD" w14:textId="112C94C1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643</w:t>
            </w:r>
          </w:p>
        </w:tc>
        <w:tc>
          <w:tcPr>
            <w:tcW w:w="978" w:type="pct"/>
          </w:tcPr>
          <w:p w14:paraId="6E1ADEA2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78" w:type="pct"/>
          </w:tcPr>
          <w:p w14:paraId="17DBEE41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57" w:type="pct"/>
          </w:tcPr>
          <w:p w14:paraId="6B5001C3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652" w:type="pct"/>
          </w:tcPr>
          <w:p w14:paraId="776080FC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082647EB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wszystkie inne prace związane z gospodarką łąkowo-rolną, które nie zostały opisane w pozycjach od 60</w:t>
      </w:r>
      <w:r w:rsidR="0000424A">
        <w:rPr>
          <w:rFonts w:ascii="Cambria" w:eastAsia="Calibri" w:hAnsi="Cambria" w:cs="Arial"/>
          <w:sz w:val="22"/>
          <w:szCs w:val="22"/>
          <w:lang w:eastAsia="pl-PL"/>
        </w:rPr>
        <w:t>0</w:t>
      </w: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  do 63</w:t>
      </w:r>
      <w:r w:rsidR="0000424A">
        <w:rPr>
          <w:rFonts w:ascii="Cambria" w:eastAsia="Calibri" w:hAnsi="Cambria" w:cs="Arial"/>
          <w:sz w:val="22"/>
          <w:szCs w:val="22"/>
          <w:lang w:eastAsia="pl-PL"/>
        </w:rPr>
        <w:t>8</w:t>
      </w: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13913DD4" w14:textId="2562E95A" w:rsidR="004306B5" w:rsidRPr="00277808" w:rsidRDefault="004306B5" w:rsidP="00277808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sectPr w:rsidR="004306B5" w:rsidRPr="00277808" w:rsidSect="0031203C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441AF" w14:textId="77777777" w:rsidR="00191B8A" w:rsidRDefault="00191B8A" w:rsidP="00837D05">
      <w:r>
        <w:separator/>
      </w:r>
    </w:p>
  </w:endnote>
  <w:endnote w:type="continuationSeparator" w:id="0">
    <w:p w14:paraId="5AB825C9" w14:textId="77777777" w:rsidR="00191B8A" w:rsidRDefault="00191B8A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14E84" w14:textId="77777777" w:rsidR="000D6F57" w:rsidRPr="00836E83" w:rsidRDefault="000D6F5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046DEEF1" w:rsidR="000D6F57" w:rsidRPr="00836E83" w:rsidRDefault="000D6F5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553F16">
      <w:rPr>
        <w:rFonts w:ascii="Cambria" w:hAnsi="Cambria"/>
        <w:noProof/>
      </w:rPr>
      <w:t>14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D6F57" w:rsidRDefault="000D6F5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BB511" w14:textId="77777777" w:rsidR="00191B8A" w:rsidRDefault="00191B8A" w:rsidP="00837D05">
      <w:r>
        <w:separator/>
      </w:r>
    </w:p>
  </w:footnote>
  <w:footnote w:type="continuationSeparator" w:id="0">
    <w:p w14:paraId="7D36EA18" w14:textId="77777777" w:rsidR="00191B8A" w:rsidRDefault="00191B8A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6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8923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1486810">
    <w:abstractNumId w:val="65"/>
    <w:lvlOverride w:ilvl="0">
      <w:startOverride w:val="1"/>
    </w:lvlOverride>
  </w:num>
  <w:num w:numId="3" w16cid:durableId="1522548470">
    <w:abstractNumId w:val="60"/>
    <w:lvlOverride w:ilvl="0">
      <w:startOverride w:val="1"/>
    </w:lvlOverride>
  </w:num>
  <w:num w:numId="4" w16cid:durableId="299698185">
    <w:abstractNumId w:val="43"/>
    <w:lvlOverride w:ilvl="0">
      <w:startOverride w:val="1"/>
    </w:lvlOverride>
  </w:num>
  <w:num w:numId="5" w16cid:durableId="1214466742">
    <w:abstractNumId w:val="64"/>
  </w:num>
  <w:num w:numId="6" w16cid:durableId="2085906296">
    <w:abstractNumId w:val="69"/>
  </w:num>
  <w:num w:numId="7" w16cid:durableId="2035157707">
    <w:abstractNumId w:val="23"/>
  </w:num>
  <w:num w:numId="8" w16cid:durableId="478959171">
    <w:abstractNumId w:val="52"/>
  </w:num>
  <w:num w:numId="9" w16cid:durableId="1501653787">
    <w:abstractNumId w:val="24"/>
  </w:num>
  <w:num w:numId="10" w16cid:durableId="1297877664">
    <w:abstractNumId w:val="15"/>
  </w:num>
  <w:num w:numId="11" w16cid:durableId="1657493912">
    <w:abstractNumId w:val="47"/>
  </w:num>
  <w:num w:numId="12" w16cid:durableId="904025674">
    <w:abstractNumId w:val="28"/>
  </w:num>
  <w:num w:numId="13" w16cid:durableId="1316028803">
    <w:abstractNumId w:val="39"/>
  </w:num>
  <w:num w:numId="14" w16cid:durableId="1399741628">
    <w:abstractNumId w:val="13"/>
  </w:num>
  <w:num w:numId="15" w16cid:durableId="26682042">
    <w:abstractNumId w:val="70"/>
  </w:num>
  <w:num w:numId="16" w16cid:durableId="662121140">
    <w:abstractNumId w:val="55"/>
  </w:num>
  <w:num w:numId="17" w16cid:durableId="1727025672">
    <w:abstractNumId w:val="17"/>
  </w:num>
  <w:num w:numId="18" w16cid:durableId="681859527">
    <w:abstractNumId w:val="42"/>
  </w:num>
  <w:num w:numId="19" w16cid:durableId="1133789311">
    <w:abstractNumId w:val="72"/>
  </w:num>
  <w:num w:numId="20" w16cid:durableId="1237857490">
    <w:abstractNumId w:val="19"/>
  </w:num>
  <w:num w:numId="21" w16cid:durableId="1654215976">
    <w:abstractNumId w:val="21"/>
  </w:num>
  <w:num w:numId="22" w16cid:durableId="1545680570">
    <w:abstractNumId w:val="45"/>
  </w:num>
  <w:num w:numId="23" w16cid:durableId="1756778773">
    <w:abstractNumId w:val="33"/>
  </w:num>
  <w:num w:numId="24" w16cid:durableId="1980721642">
    <w:abstractNumId w:val="40"/>
  </w:num>
  <w:num w:numId="25" w16cid:durableId="1328049621">
    <w:abstractNumId w:val="57"/>
  </w:num>
  <w:num w:numId="26" w16cid:durableId="562640466">
    <w:abstractNumId w:val="36"/>
  </w:num>
  <w:num w:numId="27" w16cid:durableId="887031185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424A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2898"/>
    <w:rsid w:val="00036688"/>
    <w:rsid w:val="000416EE"/>
    <w:rsid w:val="000452F8"/>
    <w:rsid w:val="00047504"/>
    <w:rsid w:val="000477C2"/>
    <w:rsid w:val="0005287D"/>
    <w:rsid w:val="00052C72"/>
    <w:rsid w:val="0005454D"/>
    <w:rsid w:val="000560C2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D6F57"/>
    <w:rsid w:val="000E471F"/>
    <w:rsid w:val="000E4BB2"/>
    <w:rsid w:val="000F1019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17DFE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1B8A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D6081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1EF4"/>
    <w:rsid w:val="0027501B"/>
    <w:rsid w:val="00275CA6"/>
    <w:rsid w:val="00277445"/>
    <w:rsid w:val="00277808"/>
    <w:rsid w:val="002810BE"/>
    <w:rsid w:val="00281D15"/>
    <w:rsid w:val="00282C78"/>
    <w:rsid w:val="00284DA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203C"/>
    <w:rsid w:val="0031450F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92DC3"/>
    <w:rsid w:val="003A2DF5"/>
    <w:rsid w:val="003B0625"/>
    <w:rsid w:val="003B0CED"/>
    <w:rsid w:val="003B4FF9"/>
    <w:rsid w:val="003B56C0"/>
    <w:rsid w:val="003C1E79"/>
    <w:rsid w:val="003C28EC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634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080F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5FD8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6DF7"/>
    <w:rsid w:val="004A262B"/>
    <w:rsid w:val="004A7F7E"/>
    <w:rsid w:val="004B4D2C"/>
    <w:rsid w:val="004B4DB9"/>
    <w:rsid w:val="004B583E"/>
    <w:rsid w:val="004B6F31"/>
    <w:rsid w:val="004C1365"/>
    <w:rsid w:val="004C1EEA"/>
    <w:rsid w:val="004C32CD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0B68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37F1C"/>
    <w:rsid w:val="005415FB"/>
    <w:rsid w:val="00541F2D"/>
    <w:rsid w:val="00542C00"/>
    <w:rsid w:val="005445D2"/>
    <w:rsid w:val="0054534F"/>
    <w:rsid w:val="005463EF"/>
    <w:rsid w:val="00547601"/>
    <w:rsid w:val="00553F16"/>
    <w:rsid w:val="0056158B"/>
    <w:rsid w:val="00563EBC"/>
    <w:rsid w:val="00566A02"/>
    <w:rsid w:val="00570E52"/>
    <w:rsid w:val="0057113B"/>
    <w:rsid w:val="0057199A"/>
    <w:rsid w:val="00571E68"/>
    <w:rsid w:val="005721C4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0F42"/>
    <w:rsid w:val="005C4098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26641"/>
    <w:rsid w:val="006308B1"/>
    <w:rsid w:val="00633A96"/>
    <w:rsid w:val="006367B3"/>
    <w:rsid w:val="006369D0"/>
    <w:rsid w:val="00642C76"/>
    <w:rsid w:val="00645237"/>
    <w:rsid w:val="00656495"/>
    <w:rsid w:val="0065796C"/>
    <w:rsid w:val="0066304E"/>
    <w:rsid w:val="0066340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1DA9"/>
    <w:rsid w:val="0074270E"/>
    <w:rsid w:val="007436F6"/>
    <w:rsid w:val="0074495B"/>
    <w:rsid w:val="0074682F"/>
    <w:rsid w:val="00747427"/>
    <w:rsid w:val="00752198"/>
    <w:rsid w:val="00753C8A"/>
    <w:rsid w:val="00754044"/>
    <w:rsid w:val="00755A05"/>
    <w:rsid w:val="00755C11"/>
    <w:rsid w:val="007570E1"/>
    <w:rsid w:val="007602BF"/>
    <w:rsid w:val="00763C9C"/>
    <w:rsid w:val="00764631"/>
    <w:rsid w:val="00764ED7"/>
    <w:rsid w:val="00765036"/>
    <w:rsid w:val="007670D7"/>
    <w:rsid w:val="007741DD"/>
    <w:rsid w:val="00774624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3B99"/>
    <w:rsid w:val="00904EB4"/>
    <w:rsid w:val="00905C72"/>
    <w:rsid w:val="009064D0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2F8D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652"/>
    <w:rsid w:val="00A93D1A"/>
    <w:rsid w:val="00A96D5D"/>
    <w:rsid w:val="00AA2869"/>
    <w:rsid w:val="00AA3DA3"/>
    <w:rsid w:val="00AA60BB"/>
    <w:rsid w:val="00AA63AA"/>
    <w:rsid w:val="00AA751B"/>
    <w:rsid w:val="00AB054D"/>
    <w:rsid w:val="00AB393B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1A46"/>
    <w:rsid w:val="00B134B9"/>
    <w:rsid w:val="00B13728"/>
    <w:rsid w:val="00B14ABB"/>
    <w:rsid w:val="00B155BF"/>
    <w:rsid w:val="00B15F7B"/>
    <w:rsid w:val="00B20598"/>
    <w:rsid w:val="00B21BF5"/>
    <w:rsid w:val="00B3193B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0D87"/>
    <w:rsid w:val="00CC1A25"/>
    <w:rsid w:val="00CC3719"/>
    <w:rsid w:val="00CC6432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478F3"/>
    <w:rsid w:val="00E515F5"/>
    <w:rsid w:val="00E52497"/>
    <w:rsid w:val="00E5407E"/>
    <w:rsid w:val="00E63148"/>
    <w:rsid w:val="00E64C01"/>
    <w:rsid w:val="00E65B7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6158B"/>
    <w:p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6158B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3370-4ADE-4A99-B818-543E60D1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3323</Words>
  <Characters>19938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Renata Ławecka</cp:lastModifiedBy>
  <cp:revision>8</cp:revision>
  <cp:lastPrinted>2021-01-18T11:48:00Z</cp:lastPrinted>
  <dcterms:created xsi:type="dcterms:W3CDTF">2025-06-16T09:52:00Z</dcterms:created>
  <dcterms:modified xsi:type="dcterms:W3CDTF">2025-09-18T06:36:00Z</dcterms:modified>
</cp:coreProperties>
</file>